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4.jpg" ContentType="image/jpeg"/>
  <Override PartName="/word/media/rId59.jpg" ContentType="image/jpeg"/>
  <Override PartName="/word/media/rId34.png" ContentType="image/png"/>
  <Override PartName="/word/media/rId30.png" ContentType="image/png"/>
  <Override PartName="/word/media/rId39.png" ContentType="image/png"/>
  <Override PartName="/word/media/rId44.png" ContentType="image/png"/>
  <Override PartName="/word/media/rId26.png" ContentType="image/png"/>
  <Override PartName="/word/media/rId50.png" ContentType="image/png"/>
  <Override PartName="/word/media/rId7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1600200" cy="13335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1600200" cy="13335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9"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foi estimado a taxa U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compreender a menor extensão espacial que acumula a maior parte da variação do aumento da extensão espacial da paisagem. Esperavamos que quanto mais branda a limitação de dispersão, maior a extensão espacial da paisagem prístina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 (.</w:t>
      </w:r>
      <w:r>
        <w:t xml:space="preserve"> </w:t>
      </w:r>
      <w:r>
        <w:t xml:space="preserve">Porém, existe muita diversidade entre sítios (fig. </w:t>
      </w:r>
      <w:r>
        <w:t xml:space="preserve">4</w:t>
      </w:r>
      <w:r>
        <w:t xml:space="preserve">)), na figura (</w:t>
      </w:r>
      <w:r>
        <w:t xml:space="preserve">4</w:t>
      </w:r>
      <w:r>
        <w:t xml:space="preserve">) há o perfil da taxa U em função do grau de limitação de dispersão separado por sítio de amostragem.</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38"/>
    <w:bookmarkStart w:id="43" w:name="Uescala"/>
    <w:p>
      <w:pPr>
        <w:pStyle w:val="Heading3"/>
      </w:pPr>
      <w:r>
        <w:rPr>
          <w:rStyle w:val="SectionNumber"/>
        </w:rPr>
        <w:t xml:space="preserve">3.2</w:t>
      </w:r>
      <w:r>
        <w:tab/>
      </w:r>
      <w:r>
        <w:t xml:space="preserve">Estimativa da taxa U sob diferentes escalas espaciais da paisagem prístina</w:t>
      </w:r>
    </w:p>
    <w:p>
      <w:pPr>
        <w:pStyle w:val="CaptionedFigure"/>
      </w:pPr>
      <w:r>
        <w:drawing>
          <wp:inline>
            <wp:extent cx="5334000" cy="2541722"/>
            <wp:effectExtent b="0" l="0" r="0" t="0"/>
            <wp:docPr descr="Figure 5: Taxa U estimada em paisagens prístina com extensão espacial de 16x16km"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p>
      <w:pPr>
        <w:pStyle w:val="ImageCaption"/>
      </w:pPr>
      <w:bookmarkStart w:id="42" w:name="fig:Uk-ladokm"/>
      <w:bookmarkEnd w:id="42"/>
      <w:r>
        <w:t xml:space="preserve">Figure 5: Taxa U estimada em paisagens prístina com extensão espacial de 16x16km</w:t>
      </w:r>
    </w:p>
    <w:bookmarkEnd w:id="43"/>
    <w:bookmarkStart w:id="48"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p>
      <w:pPr>
        <w:pStyle w:val="CaptionedFigure"/>
      </w:pPr>
      <w:r>
        <w:drawing>
          <wp:inline>
            <wp:extent cx="2667000" cy="1751852"/>
            <wp:effectExtent b="0" l="0" r="0" t="0"/>
            <wp:docPr descr="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5" name="Picture"/>
            <a:graphic>
              <a:graphicData uri="http://schemas.openxmlformats.org/drawingml/2006/picture">
                <pic:pic>
                  <pic:nvPicPr>
                    <pic:cNvPr descr="./figuras/fig5_SoE.png" id="46" name="Picture"/>
                    <pic:cNvPicPr>
                      <a:picLocks noChangeArrowheads="1" noChangeAspect="1"/>
                    </pic:cNvPicPr>
                  </pic:nvPicPr>
                  <pic:blipFill>
                    <a:blip r:embed="rId44"/>
                    <a:stretch>
                      <a:fillRect/>
                    </a:stretch>
                  </pic:blipFill>
                  <pic:spPr bwMode="auto">
                    <a:xfrm>
                      <a:off x="0" y="0"/>
                      <a:ext cx="2667000" cy="1751852"/>
                    </a:xfrm>
                    <a:prstGeom prst="rect">
                      <a:avLst/>
                    </a:prstGeom>
                    <a:noFill/>
                    <a:ln w="9525">
                      <a:noFill/>
                      <a:headEnd/>
                      <a:tailEnd/>
                    </a:ln>
                  </pic:spPr>
                </pic:pic>
              </a:graphicData>
            </a:graphic>
          </wp:inline>
        </w:drawing>
      </w:r>
    </w:p>
    <w:p>
      <w:pPr>
        <w:pStyle w:val="ImageCaption"/>
      </w:pPr>
      <w:bookmarkStart w:id="47" w:name="fig:SoE"/>
      <w:bookmarkEnd w:id="47"/>
      <w:r>
        <w:t xml:space="preserve">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48"/>
    <w:bookmarkEnd w:id="49"/>
    <w:bookmarkStart w:id="78" w:name="X128dee493b383a35bb20dfc2f86c623d9c8fb53"/>
    <w:p>
      <w:pPr>
        <w:pStyle w:val="Heading2"/>
      </w:pPr>
      <w:r>
        <w:rPr>
          <w:rStyle w:val="SectionNumber"/>
        </w:rPr>
        <w:t xml:space="preserve">4</w:t>
      </w:r>
      <w:r>
        <w:tab/>
      </w:r>
      <w:r>
        <w:t xml:space="preserve">Efeitos da paisagem propostos por programas de pesquisa em disputa</w:t>
      </w:r>
    </w:p>
    <w:p>
      <w:pPr>
        <w:pStyle w:val="FirstParagraph"/>
      </w:pPr>
      <w:r>
        <w:t xml:space="preserve">Nessa seção interpretamos e atribuímos os efeitos da paisagem baseado no contraste de simulações em paisagens contrafactuais. Essas simulações resultam de um mesmo modelo mecanístico demográfico. Nesse modelo mecanístico, à medida que propágulos entram e saem da parcela, a riqueza e a abundância relativa das espécies locais são influenciadas pela paisagem, que determina a quantidade, posição e distância dos progenitores remanescentes. Esse modelo mecanístico possui pressupostos auxiliares que são comuns aos</w:t>
      </w:r>
    </w:p>
    <w:p>
      <w:pPr>
        <w:pStyle w:val="BodyText"/>
      </w:pPr>
      <w:r>
        <w:t xml:space="preserve">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comparação da taxa U entre contrafactuais, expresso no logaritmo da razão da taxa U média, pareado pelo grau de limitação de dispersão k, informa o efeito do contraste da paisagem na manutenção da riqueza local.</w:t>
      </w:r>
      <w:r>
        <w:t xml:space="preserve"> </w:t>
      </w:r>
      <w:r>
        <w:t xml:space="preserve">Os efeitos observados da paisagem foram obtidos pelo contraste na congruência da SAD simulada com a SAD observada. Cada efeito corresponde a um contraste de pares de paisagens contrafactuais. Buscamos descrever os efeitos da paisagem — área per se, fragmentação per se e fragmentação total — como previstos pelas práticas ontológicas em disputa (tabela 1), na congruência da SAD simulada. O contraste na congruência da SAD simulada foi obtido pelo logaritmo da razão da chance (em inglês log odds ratio, logOR) da SAD simulado ter boa congruência com a SAD observada.</w:t>
      </w:r>
      <w:r>
        <w:t xml:space="preserve"> </w:t>
      </w:r>
      <w:r>
        <w:t xml:space="preserve">A variação no logOR do efeito foi descrito por modelos hierárquicos aditivos generalizados (HGAM), que incluíram até 2 tipos de preditoras: o log da razão da taxa U (log(U/U)) e da proporção de propágulos que permanecem na vizinhança imediata (k).</w:t>
      </w:r>
    </w:p>
    <w:p>
      <w:pPr>
        <w:pStyle w:val="BodyText"/>
      </w:pPr>
      <w:r>
        <w:t xml:space="preserve">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4.2</w:t>
      </w:r>
      <w:r>
        <w:t xml:space="preserve">.</w:t>
      </w:r>
    </w:p>
    <w:bookmarkStart w:id="54"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w:t>
      </w:r>
      <w:r>
        <w:t xml:space="preserve">7</w:t>
      </w:r>
      <w:r>
        <w:t xml:space="preserve">). Os valores em paisagens sem perda de cobertura florestal ocorrem ao redor do zero, com valores negativos e positivos (fig. </w:t>
      </w:r>
      <w:r>
        <w:t xml:space="preserve">7</w:t>
      </w:r>
      <w:r>
        <w:t xml:space="preserve">).</w:t>
      </w:r>
      <w:r>
        <w:t xml:space="preserve"> </w:t>
      </w:r>
      <w:r>
        <w:t xml:space="preserve">O efeito que apresenta menor amplitude de valores é o de área per se, enquanto o efeito de fragmentação total apresenta a maior amplitude (fig. </w:t>
      </w:r>
      <w:r>
        <w:t xml:space="preserve">7</w:t>
      </w:r>
      <w:r>
        <w:t xml:space="preserve">).</w:t>
      </w:r>
      <w:r>
        <w:t xml:space="preserve"> </w:t>
      </w:r>
      <w:r>
        <w:t xml:space="preserve">Em alguns sítios, o logU/U do efeito de fragmentação per se pode ser menor do que o observado em paisagens sem perda de cobertura florestal (fig. </w:t>
      </w:r>
      <w:r>
        <w:t xml:space="preserve">7</w:t>
      </w:r>
      <w:r>
        <w:t xml:space="preserve">).</w:t>
      </w:r>
      <w:r>
        <w:br/>
      </w:r>
      <w:r>
        <w:t xml:space="preserve">A amplitude dos valores aumenta com a redução do grau de preservação da área amostrada para todos os 3 efeitos (fig. </w:t>
      </w:r>
      <w:r>
        <w:t xml:space="preserve">7</w:t>
      </w:r>
      <w:r>
        <w:t xml:space="preserve">).</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w:t>
      </w:r>
      <w:r>
        <w:t xml:space="preserve">7</w:t>
      </w:r>
      <w:r>
        <w:t xml:space="preserve">).</w:t>
      </w:r>
    </w:p>
    <w:p>
      <w:pPr>
        <w:pStyle w:val="CaptionedFigure"/>
      </w:pPr>
      <w:r>
        <w:drawing>
          <wp:inline>
            <wp:extent cx="5334000" cy="2236165"/>
            <wp:effectExtent b="0" l="0" r="0" t="0"/>
            <wp:docPr descr="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1" name="Picture"/>
            <a:graphic>
              <a:graphicData uri="http://schemas.openxmlformats.org/drawingml/2006/picture">
                <pic:pic>
                  <pic:nvPicPr>
                    <pic:cNvPr descr="figuras/pedacofigfinal_1alinha.png" id="52" name="Picture"/>
                    <pic:cNvPicPr>
                      <a:picLocks noChangeArrowheads="1" noChangeAspect="1"/>
                    </pic:cNvPicPr>
                  </pic:nvPicPr>
                  <pic:blipFill>
                    <a:blip r:embed="rId50"/>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3" w:name="fig:GE-contraste-taxaU"/>
      <w:bookmarkEnd w:id="53"/>
      <w:r>
        <w:t xml:space="preserve">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4"/>
    <w:bookmarkStart w:id="77" w:name="efeito-congruencia"/>
    <w:p>
      <w:pPr>
        <w:pStyle w:val="Heading3"/>
      </w:pPr>
      <w:r>
        <w:rPr>
          <w:rStyle w:val="SectionNumber"/>
        </w:rPr>
        <w:t xml:space="preserve">4.2</w:t>
      </w:r>
      <w:r>
        <w:tab/>
      </w:r>
      <w:r>
        <w:t xml:space="preserve">Efeito da paisagem na congruência com a SAD observada</w:t>
      </w:r>
    </w:p>
    <w:bookmarkStart w:id="58" w:name="X50bea4dedee42ddee3b9e9fd9d9cdc6d737c617"/>
    <w:p>
      <w:pPr>
        <w:pStyle w:val="Heading4"/>
      </w:pPr>
      <w:r>
        <w:rPr>
          <w:rStyle w:val="SectionNumber"/>
        </w:rPr>
        <w:t xml:space="preserve">4.2.1</w:t>
      </w:r>
      <w:r>
        <w:tab/>
      </w:r>
      <w:r>
        <w:t xml:space="preserve">Modelos estatísticos para descrever a variabilidade dos efeitos propostos</w:t>
      </w:r>
    </w:p>
    <w:p>
      <w:pPr>
        <w:pStyle w:val="TableCaption"/>
      </w:pPr>
      <w:bookmarkStart w:id="55" w:name="tab:tabsel-fragtotal"/>
      <w:bookmarkEnd w:id="55"/>
      <w:r>
        <w:t xml:space="preserve">Table 1:</w:t>
      </w:r>
      <w:r>
        <w:t xml:space="preserve"> </w:t>
      </w:r>
      <w:r>
        <w:t xml:space="preserve">Frag. total: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p>
      <w:pPr>
        <w:pStyle w:val="TableCaption"/>
      </w:pPr>
      <w:bookmarkStart w:id="56" w:name="tab:tabsel-fragperse"/>
      <w:bookmarkEnd w:id="56"/>
      <w:r>
        <w:t xml:space="preserve">Table 2:</w:t>
      </w:r>
      <w:r>
        <w:t xml:space="preserve"> </w:t>
      </w:r>
      <w:r>
        <w:t xml:space="preserve">Frag.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p>
      <w:pPr>
        <w:pStyle w:val="TableCaption"/>
      </w:pPr>
      <w:bookmarkStart w:id="57" w:name="tab:tabsel-areaperse"/>
      <w:bookmarkEnd w:id="57"/>
      <w:r>
        <w:t xml:space="preserve">Table 3:</w:t>
      </w:r>
      <w:r>
        <w:t xml:space="preserve"> </w:t>
      </w:r>
      <w:r>
        <w:t xml:space="preserve">Área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bookmarkEnd w:id="58"/>
    <w:bookmarkStart w:id="63" w:name="Xd7610cc993138edad9f74f2461d50f0354d0d9d"/>
    <w:p>
      <w:pPr>
        <w:pStyle w:val="Heading4"/>
      </w:pPr>
      <w:r>
        <w:rPr>
          <w:rStyle w:val="SectionNumber"/>
        </w:rPr>
        <w:t xml:space="preserve">4.2.2</w:t>
      </w:r>
      <w:r>
        <w:tab/>
      </w:r>
      <w:r>
        <w:t xml:space="preserve">Diagnóstico do modelo mais plausível de cada efeito</w:t>
      </w:r>
    </w:p>
    <w:p>
      <w:pPr>
        <w:pStyle w:val="CaptionedFigure"/>
      </w:pPr>
      <w:r>
        <w:drawing>
          <wp:inline>
            <wp:extent cx="5334000" cy="1902831"/>
            <wp:effectExtent b="0" l="0" r="0" t="0"/>
            <wp:docPr descr="Figure 8: Predição dos modelos mais plausíveis em relação ao observado." title="" id="60" name="Picture"/>
            <a:graphic>
              <a:graphicData uri="http://schemas.openxmlformats.org/drawingml/2006/picture">
                <pic:pic>
                  <pic:nvPicPr>
                    <pic:cNvPr descr="./figuras/diagfinal_3efeitos.jpeg" id="61" name="Picture"/>
                    <pic:cNvPicPr>
                      <a:picLocks noChangeArrowheads="1" noChangeAspect="1"/>
                    </pic:cNvPicPr>
                  </pic:nvPicPr>
                  <pic:blipFill>
                    <a:blip r:embed="rId59"/>
                    <a:stretch>
                      <a:fillRect/>
                    </a:stretch>
                  </pic:blipFill>
                  <pic:spPr bwMode="auto">
                    <a:xfrm>
                      <a:off x="0" y="0"/>
                      <a:ext cx="5334000" cy="1902831"/>
                    </a:xfrm>
                    <a:prstGeom prst="rect">
                      <a:avLst/>
                    </a:prstGeom>
                    <a:noFill/>
                    <a:ln w="9525">
                      <a:noFill/>
                      <a:headEnd/>
                      <a:tailEnd/>
                    </a:ln>
                  </pic:spPr>
                </pic:pic>
              </a:graphicData>
            </a:graphic>
          </wp:inline>
        </w:drawing>
      </w:r>
    </w:p>
    <w:p>
      <w:pPr>
        <w:pStyle w:val="ImageCaption"/>
      </w:pPr>
      <w:bookmarkStart w:id="62" w:name="fig:diagfinal"/>
      <w:bookmarkEnd w:id="62"/>
      <w:r>
        <w:t xml:space="preserve">Figure 8: Predição dos modelos mais plausíveis em relação ao observado.</w:t>
      </w:r>
    </w:p>
    <w:bookmarkEnd w:id="63"/>
    <w:bookmarkStart w:id="68" w:name="os-propostos-efeitos-da-paisagem"/>
    <w:p>
      <w:pPr>
        <w:pStyle w:val="Heading4"/>
      </w:pPr>
      <w:r>
        <w:rPr>
          <w:rStyle w:val="SectionNumber"/>
        </w:rPr>
        <w:t xml:space="preserve">4.2.3</w:t>
      </w:r>
      <w:r>
        <w:tab/>
      </w:r>
      <w:r>
        <w:t xml:space="preserve">Os propostos efeitos da paisagem</w:t>
      </w:r>
    </w:p>
    <w:p>
      <w:pPr>
        <w:pStyle w:val="CaptionedFigure"/>
      </w:pPr>
      <w:r>
        <w:drawing>
          <wp:inline>
            <wp:extent cx="3801335" cy="1293616"/>
            <wp:effectExtent b="0" l="0" r="0" t="0"/>
            <wp:docPr descr="Figure 9: Comparação dos efeitos propostos da paisagem. Da esquerda para a direita há a predição do modelo mais plausível para os efeitos de fragmentação total, fragmentação per se e área per se." title="" id="65" name="Picture"/>
            <a:graphic>
              <a:graphicData uri="http://schemas.openxmlformats.org/drawingml/2006/picture">
                <pic:pic>
                  <pic:nvPicPr>
                    <pic:cNvPr descr="./figuras/comparacao_de_efeitos.jpeg" id="66" name="Picture"/>
                    <pic:cNvPicPr>
                      <a:picLocks noChangeArrowheads="1" noChangeAspect="1"/>
                    </pic:cNvPicPr>
                  </pic:nvPicPr>
                  <pic:blipFill>
                    <a:blip r:embed="rId64"/>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67" w:name="fig:PIfixo-todos"/>
      <w:bookmarkEnd w:id="67"/>
      <w:r>
        <w:t xml:space="preserve">Figure 9: Comparação dos efeitos propostos da paisagem. Da esquerda para a direita há a predição do modelo mais plausível para os efeitos de fragmentação total, fragmentação per se e área per se.</w:t>
      </w:r>
    </w:p>
    <w:bookmarkEnd w:id="68"/>
    <w:bookmarkStart w:id="76" w:name="comparação-das-paisagens-contrafactuais"/>
    <w:p>
      <w:pPr>
        <w:pStyle w:val="Heading4"/>
      </w:pPr>
      <w:r>
        <w:rPr>
          <w:rStyle w:val="SectionNumber"/>
        </w:rPr>
        <w:t xml:space="preserve">4.2.4</w:t>
      </w:r>
      <w:r>
        <w:tab/>
      </w:r>
      <w:r>
        <w:t xml:space="preserve">Comparação das paisagens contrafactuais</w:t>
      </w:r>
    </w:p>
    <w:p>
      <w:pPr>
        <w:pStyle w:val="TableCaption"/>
      </w:pPr>
      <w:bookmarkStart w:id="69" w:name="tab:tabsel-sumario"/>
      <w:bookmarkEnd w:id="69"/>
      <w:r>
        <w:t xml:space="preserve">Table 4:</w:t>
      </w:r>
      <w:r>
        <w:t xml:space="preserve"> </w:t>
      </w:r>
      <w:r>
        <w:t xml:space="preserve">Modelos estatísticos para descrever a proporção de SADs simuladas com boa congruência com a SAD observada em função do grau de limitação de dispersão e paisagem hipotética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376.90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10,391.13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13,974.81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22,275.29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bl>
    <w:p>
      <w:pPr>
        <w:pStyle w:val="CaptionedFigure"/>
      </w:pPr>
      <w:r>
        <w:drawing>
          <wp:inline>
            <wp:extent cx="5334000" cy="2622176"/>
            <wp:effectExtent b="0" l="0" r="0" t="0"/>
            <wp:docPr descr="Figure 10: sumário do logito da proporção de SADs simuladas com boa congruência com a SAD observada. No quadro da esquerda há o logito da proporção observada e no logito da esquerda há o logito predito pelo modelo mais plausível, sem o efeito do sítio de amostragem." title="" id="71" name="Picture"/>
            <a:graphic>
              <a:graphicData uri="http://schemas.openxmlformats.org/drawingml/2006/picture">
                <pic:pic>
                  <pic:nvPicPr>
                    <pic:cNvPr descr="figuras/sumario_paisagens.jpeg" id="72" name="Picture"/>
                    <pic:cNvPicPr>
                      <a:picLocks noChangeArrowheads="1" noChangeAspect="1"/>
                    </pic:cNvPicPr>
                  </pic:nvPicPr>
                  <pic:blipFill>
                    <a:blip r:embed="rId70"/>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73" w:name="fig:sumario-paisagens"/>
      <w:bookmarkEnd w:id="73"/>
      <w:r>
        <w:t xml:space="preserve">Figure 10: sumário do logito da proporção de SADs simuladas com boa congruência com a SAD observada. No quadro da esquerda há o logito da proporção observada e no logito da esquerda há o logito predito pelo modelo mais plausível, sem o efeito do sítio de amostragem.</w:t>
      </w:r>
    </w:p>
    <w:bookmarkStart w:id="75" w:name="refs"/>
    <w:bookmarkStart w:id="74" w:name="ref-may_dispersal_2012"/>
    <w:p>
      <w:pPr>
        <w:pStyle w:val="Bibliography"/>
      </w:pPr>
      <w:r>
        <w:t xml:space="preserve">May, F., I. Giladi, Y. Ziv, and F. Jeltsch. 2012. Dispersal and diversity–unifying scale-dependent relationships within the neutral theory. Oikos 121:942–951.</w:t>
      </w:r>
    </w:p>
    <w:bookmarkEnd w:id="74"/>
    <w:bookmarkEnd w:id="75"/>
    <w:bookmarkEnd w:id="76"/>
    <w:bookmarkEnd w:id="77"/>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70" Target="media/rId70.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2024-12-09T13:32:40Z</dcterms:created>
  <dcterms:modified xsi:type="dcterms:W3CDTF">2024-12-09T13:32:40Z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